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48C4450C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2F46C91B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99DE0C2" w14:textId="77777777" w:rsidR="008945B0" w:rsidRPr="002B6ABF" w:rsidRDefault="00FE79C1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Wegbeschreibung auf Spanisch </w:t>
            </w:r>
          </w:p>
        </w:tc>
      </w:tr>
      <w:tr w:rsidR="008945B0" w:rsidRPr="00555738" w14:paraId="107A9D8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BDA5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2614" w14:textId="77777777" w:rsidR="00466C17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Spanisch </w:t>
            </w:r>
          </w:p>
        </w:tc>
      </w:tr>
      <w:tr w:rsidR="008945B0" w:rsidRPr="00555738" w14:paraId="54387D2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99909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BE11" w14:textId="3DAA397A" w:rsidR="008945B0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Eingangs</w:t>
            </w:r>
            <w:r w:rsidR="00CD0B7D">
              <w:rPr>
                <w:sz w:val="20"/>
                <w:szCs w:val="24"/>
              </w:rPr>
              <w:t xml:space="preserve">klasse </w:t>
            </w:r>
            <w:r>
              <w:rPr>
                <w:sz w:val="20"/>
                <w:szCs w:val="24"/>
              </w:rPr>
              <w:t>/</w:t>
            </w:r>
            <w:r w:rsidR="00CD0B7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Jahrgangsstufe</w:t>
            </w:r>
            <w:r w:rsidR="00EE6A8A">
              <w:rPr>
                <w:sz w:val="20"/>
                <w:szCs w:val="24"/>
              </w:rPr>
              <w:t xml:space="preserve"> 1/2</w:t>
            </w:r>
          </w:p>
        </w:tc>
      </w:tr>
      <w:tr w:rsidR="008945B0" w:rsidRPr="00555738" w14:paraId="3A3A361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E983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908F9" w14:textId="7AE0D91B" w:rsidR="008945B0" w:rsidRPr="002B6ABF" w:rsidRDefault="00CD0B7D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</w:p>
        </w:tc>
      </w:tr>
      <w:tr w:rsidR="00E8736C" w:rsidRPr="00555738" w14:paraId="130321E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C189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9E26" w14:textId="4F9A4481" w:rsidR="00E8736C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BPE</w:t>
            </w:r>
            <w:r w:rsidR="00A375DE">
              <w:rPr>
                <w:sz w:val="20"/>
                <w:szCs w:val="24"/>
              </w:rPr>
              <w:t xml:space="preserve"> 1.1, 1.3, </w:t>
            </w:r>
            <w:r w:rsidR="00BD2731">
              <w:rPr>
                <w:sz w:val="20"/>
                <w:szCs w:val="24"/>
              </w:rPr>
              <w:t>1</w:t>
            </w:r>
            <w:r w:rsidR="00A375DE">
              <w:rPr>
                <w:sz w:val="20"/>
                <w:szCs w:val="24"/>
              </w:rPr>
              <w:t>.6</w:t>
            </w:r>
            <w:r w:rsidR="00BD2731">
              <w:rPr>
                <w:sz w:val="20"/>
                <w:szCs w:val="24"/>
              </w:rPr>
              <w:t>,</w:t>
            </w:r>
            <w:r>
              <w:rPr>
                <w:sz w:val="20"/>
                <w:szCs w:val="24"/>
              </w:rPr>
              <w:t xml:space="preserve"> BPE 5.</w:t>
            </w:r>
            <w:r w:rsidR="00A375DE">
              <w:rPr>
                <w:sz w:val="20"/>
                <w:szCs w:val="24"/>
              </w:rPr>
              <w:t>1, 5.3, 5.6</w:t>
            </w:r>
          </w:p>
        </w:tc>
      </w:tr>
      <w:tr w:rsidR="008945B0" w:rsidRPr="00555738" w14:paraId="2344087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4566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59E2" w14:textId="77777777" w:rsidR="008945B0" w:rsidRPr="002B6ABF" w:rsidRDefault="00FE79C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30-45</w:t>
            </w:r>
            <w:r w:rsidR="00FE77E2">
              <w:rPr>
                <w:sz w:val="20"/>
                <w:szCs w:val="24"/>
              </w:rPr>
              <w:t xml:space="preserve"> Minuten</w:t>
            </w:r>
          </w:p>
        </w:tc>
      </w:tr>
      <w:tr w:rsidR="00BA4777" w:rsidRPr="00555738" w14:paraId="615DF824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4D2FC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481ED1A8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1B33DB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D055C4F" w14:textId="77777777" w:rsidR="00647828" w:rsidRPr="002C1D9D" w:rsidRDefault="007234AE" w:rsidP="007234A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Interaktivität der Lernenden </w:t>
            </w:r>
            <w:r w:rsidR="00156F46">
              <w:rPr>
                <w:b/>
                <w:sz w:val="22"/>
              </w:rPr>
              <w:t>im digitalen Unterricht durc</w:t>
            </w:r>
            <w:r>
              <w:rPr>
                <w:b/>
                <w:sz w:val="22"/>
              </w:rPr>
              <w:t>h ei</w:t>
            </w:r>
            <w:r w:rsidR="00FE79C1">
              <w:rPr>
                <w:b/>
                <w:sz w:val="22"/>
              </w:rPr>
              <w:t xml:space="preserve">ne webbasierte Selbstlerneinheit zur Wegbeschreibung </w:t>
            </w:r>
          </w:p>
        </w:tc>
      </w:tr>
      <w:tr w:rsidR="008945B0" w:rsidRPr="00555738" w14:paraId="385CD489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412AA" w14:textId="597F3649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9D4E2C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2B6C2A36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C524EE7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9EA87" w14:textId="77777777" w:rsidR="00FE79C1" w:rsidRPr="00660930" w:rsidRDefault="00FE77E2" w:rsidP="00FE79C1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7234AE">
              <w:rPr>
                <w:sz w:val="20"/>
              </w:rPr>
              <w:t>Schülerinnen und Schüler erhalten</w:t>
            </w:r>
            <w:r>
              <w:rPr>
                <w:sz w:val="20"/>
              </w:rPr>
              <w:t xml:space="preserve"> übe</w:t>
            </w:r>
            <w:r w:rsidR="00FE79C1">
              <w:rPr>
                <w:sz w:val="20"/>
              </w:rPr>
              <w:t xml:space="preserve">r einen Messenger, per </w:t>
            </w:r>
            <w:proofErr w:type="gramStart"/>
            <w:r w:rsidR="00FE79C1">
              <w:rPr>
                <w:sz w:val="20"/>
              </w:rPr>
              <w:t>Email</w:t>
            </w:r>
            <w:proofErr w:type="gramEnd"/>
            <w:r w:rsidR="00FE79C1">
              <w:rPr>
                <w:sz w:val="20"/>
              </w:rPr>
              <w:t xml:space="preserve"> oder über das an der Schule etablierte LMS einen Link auf die mit Nearpod</w:t>
            </w:r>
            <w:r w:rsidR="00FE79C1">
              <w:rPr>
                <w:sz w:val="20"/>
              </w:rPr>
              <w:fldChar w:fldCharType="begin"/>
            </w:r>
            <w:r w:rsidR="00FE79C1">
              <w:rPr>
                <w:sz w:val="20"/>
              </w:rPr>
              <w:instrText xml:space="preserve"> NOTEREF _Ref67830872 \f </w:instrText>
            </w:r>
            <w:r w:rsidR="00FE79C1">
              <w:rPr>
                <w:sz w:val="20"/>
              </w:rPr>
              <w:fldChar w:fldCharType="separate"/>
            </w:r>
            <w:r w:rsidR="00FE79C1" w:rsidRPr="00FE79C1">
              <w:rPr>
                <w:rStyle w:val="Funotenzeichen"/>
              </w:rPr>
              <w:t>1</w:t>
            </w:r>
            <w:r w:rsidR="00FE79C1">
              <w:rPr>
                <w:sz w:val="20"/>
              </w:rPr>
              <w:fldChar w:fldCharType="end"/>
            </w:r>
            <w:r w:rsidR="00FE79C1">
              <w:rPr>
                <w:sz w:val="20"/>
              </w:rPr>
              <w:t xml:space="preserve"> erstellte Selbstlerneinheit. </w:t>
            </w:r>
          </w:p>
          <w:p w14:paraId="7D972B7C" w14:textId="77777777" w:rsidR="00C5246C" w:rsidRPr="00660930" w:rsidRDefault="00FE79C1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Nach Eingabe des Links bei Nearpod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NOTEREF _Ref67830872 \f </w:instrText>
            </w:r>
            <w:r>
              <w:rPr>
                <w:sz w:val="20"/>
              </w:rPr>
              <w:fldChar w:fldCharType="separate"/>
            </w:r>
            <w:r w:rsidRPr="00FE79C1">
              <w:rPr>
                <w:rStyle w:val="Funotenzeichen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kann jeder Lernende das hinterlegte interaktive Material in eigenem Tempo bearbeiten. Dabei können neben Präsentationfolien interaktive Inhalte wie Videos, Internetseiten, Online-Übungen und </w:t>
            </w:r>
            <w:proofErr w:type="spellStart"/>
            <w:r>
              <w:rPr>
                <w:sz w:val="20"/>
              </w:rPr>
              <w:t>kollaborative</w:t>
            </w:r>
            <w:proofErr w:type="spellEnd"/>
            <w:r>
              <w:rPr>
                <w:sz w:val="20"/>
              </w:rPr>
              <w:t xml:space="preserve"> Elemente integriert werden. Diese können von Neaprod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NOTEREF _Ref67830872 \f </w:instrText>
            </w:r>
            <w:r>
              <w:rPr>
                <w:sz w:val="20"/>
              </w:rPr>
              <w:fldChar w:fldCharType="separate"/>
            </w:r>
            <w:r w:rsidRPr="00FE79C1">
              <w:rPr>
                <w:rStyle w:val="Funotenzeichen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oder weiteren Anbietern stammen. </w:t>
            </w:r>
          </w:p>
        </w:tc>
      </w:tr>
      <w:tr w:rsidR="008945B0" w:rsidRPr="00555738" w14:paraId="534445A5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C1E53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4FCC4BB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0AF91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CD0B7D" w14:paraId="047B64D7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B81264F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D470C" w14:textId="42B0B356" w:rsidR="00E71E3A" w:rsidRPr="005A084C" w:rsidRDefault="00FE79C1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lang w:val="en-US"/>
              </w:rPr>
            </w:pPr>
            <w:bookmarkStart w:id="0" w:name="_Ref67829648"/>
            <w:r>
              <w:rPr>
                <w:sz w:val="20"/>
                <w:lang w:val="en-US"/>
              </w:rPr>
              <w:t>Nearpod</w:t>
            </w:r>
            <w:bookmarkStart w:id="1" w:name="_Ref67830872"/>
            <w:r w:rsidR="007234AE">
              <w:rPr>
                <w:rStyle w:val="Funotenzeichen"/>
                <w:sz w:val="20"/>
                <w:lang w:val="en-US"/>
              </w:rPr>
              <w:footnoteReference w:id="1"/>
            </w:r>
            <w:bookmarkEnd w:id="0"/>
            <w:bookmarkEnd w:id="1"/>
            <w:r w:rsidR="00BD2731" w:rsidRPr="00BD2731">
              <w:rPr>
                <w:sz w:val="20"/>
                <w:lang w:val="en-US"/>
              </w:rPr>
              <w:t xml:space="preserve"> (</w:t>
            </w:r>
            <w:hyperlink r:id="rId8" w:history="1">
              <w:r w:rsidR="00913BEC" w:rsidRPr="000E5C01">
                <w:rPr>
                  <w:rStyle w:val="Hyperlink"/>
                  <w:sz w:val="20"/>
                  <w:lang w:val="en-US"/>
                </w:rPr>
                <w:t>www.nearpod.com/</w:t>
              </w:r>
            </w:hyperlink>
            <w:r w:rsidR="00BD2731">
              <w:rPr>
                <w:sz w:val="20"/>
                <w:lang w:val="en-US"/>
              </w:rPr>
              <w:t>)</w:t>
            </w:r>
          </w:p>
        </w:tc>
      </w:tr>
      <w:tr w:rsidR="00BA4777" w:rsidRPr="00CD0B7D" w14:paraId="5DFDD4F5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8388B" w14:textId="77777777" w:rsidR="00BA4777" w:rsidRPr="00BD2731" w:rsidRDefault="00BA4777" w:rsidP="00660930">
            <w:pPr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8945B0" w:rsidRPr="00555738" w14:paraId="35DC6E7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DDF9823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0FF19310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15CE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6C7C" w14:textId="12151AAD" w:rsidR="008945B0" w:rsidRPr="00B41196" w:rsidRDefault="00FE79C1" w:rsidP="00156F46">
            <w:pPr>
              <w:rPr>
                <w:sz w:val="20"/>
              </w:rPr>
            </w:pPr>
            <w:r>
              <w:rPr>
                <w:sz w:val="20"/>
              </w:rPr>
              <w:t>Das Vokabular zum Thema „Stadt“ ist bereits eingeführt. D</w:t>
            </w:r>
            <w:r w:rsidR="00BF7BA8">
              <w:rPr>
                <w:sz w:val="20"/>
              </w:rPr>
              <w:t>en</w:t>
            </w:r>
            <w:r>
              <w:rPr>
                <w:sz w:val="20"/>
              </w:rPr>
              <w:t xml:space="preserve"> Schülerinnen und Schülern ist bekannt, wie man Fragen</w:t>
            </w:r>
            <w:r w:rsidR="00BF7BA8">
              <w:rPr>
                <w:sz w:val="20"/>
              </w:rPr>
              <w:t xml:space="preserve"> nach dem Weg</w:t>
            </w:r>
            <w:r>
              <w:rPr>
                <w:sz w:val="20"/>
              </w:rPr>
              <w:t xml:space="preserve"> stellt. </w:t>
            </w:r>
          </w:p>
        </w:tc>
      </w:tr>
      <w:tr w:rsidR="008945B0" w:rsidRPr="00555738" w14:paraId="57B4498E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8143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C6E0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4B86718E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9FAF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73D8C0E8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774B" w14:textId="005269B6" w:rsidR="00E71E3A" w:rsidRPr="00BD2731" w:rsidRDefault="00FE79C1" w:rsidP="00BD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Wegbeschreibungen erfragen und verstehen bzw. einen Weg selbst beschreiben können</w:t>
            </w:r>
            <w:r w:rsidR="009D4E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45B0" w:rsidRPr="00555738" w14:paraId="03FE49F9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F3158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64D4F839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6383" w14:textId="2119E04B" w:rsidR="00BD2731" w:rsidRPr="005A084C" w:rsidRDefault="00BD2731" w:rsidP="005A084C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Methodenkompetenz </w:t>
            </w:r>
          </w:p>
        </w:tc>
      </w:tr>
      <w:tr w:rsidR="00BA4777" w:rsidRPr="00555738" w14:paraId="373C3A41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D687D78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23E49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69038B5C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C93B13F" w14:textId="7BAC8B00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041FDD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330EBFF4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64195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512BDA95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6D0C6" w14:textId="77777777" w:rsidR="00E8736C" w:rsidRPr="00BD2731" w:rsidRDefault="00BD2731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Eine besondere Einarbeitung seitens der Schüler ist nicht notwendig.</w:t>
            </w:r>
            <w:r w:rsidR="005E2948">
              <w:rPr>
                <w:color w:val="000000" w:themeColor="text1"/>
                <w:sz w:val="20"/>
                <w:szCs w:val="20"/>
              </w:rPr>
              <w:t xml:space="preserve"> Sobald sie den Link auf die Selbstlerneinheit in Nearpod</w:t>
            </w:r>
            <w:r w:rsidR="005E2948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E2948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5E294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5E2948" w:rsidRPr="005E2948">
              <w:rPr>
                <w:rStyle w:val="Funotenzeichen"/>
              </w:rPr>
              <w:t>1</w:t>
            </w:r>
            <w:r w:rsidR="005E2948">
              <w:rPr>
                <w:color w:val="000000" w:themeColor="text1"/>
                <w:sz w:val="20"/>
                <w:szCs w:val="20"/>
              </w:rPr>
              <w:fldChar w:fldCharType="end"/>
            </w:r>
            <w:r w:rsidR="005E2948">
              <w:rPr>
                <w:color w:val="000000" w:themeColor="text1"/>
                <w:sz w:val="20"/>
                <w:szCs w:val="20"/>
              </w:rPr>
              <w:t xml:space="preserve"> erhalten haben, können sie sich eigenständig durch das Material bewegen.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E433AA" w14:textId="7AE94127" w:rsidR="005E2948" w:rsidRDefault="005E2948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2948">
              <w:rPr>
                <w:color w:val="000000" w:themeColor="text1"/>
                <w:sz w:val="20"/>
                <w:szCs w:val="20"/>
              </w:rPr>
              <w:t xml:space="preserve">Die Lehrkraft sollte bei der Erstellung auf ein methodisch und inhaltlich abwechslungsreiches Material achten. Zur Erstellung benötigt </w:t>
            </w:r>
            <w:r w:rsidR="00E44FD5">
              <w:rPr>
                <w:color w:val="000000" w:themeColor="text1"/>
                <w:sz w:val="20"/>
                <w:szCs w:val="20"/>
              </w:rPr>
              <w:t>die</w:t>
            </w:r>
            <w:r w:rsidRPr="005E2948">
              <w:rPr>
                <w:color w:val="000000" w:themeColor="text1"/>
                <w:sz w:val="20"/>
                <w:szCs w:val="20"/>
              </w:rPr>
              <w:t xml:space="preserve"> bzw. d</w:t>
            </w:r>
            <w:r w:rsidR="00E44FD5">
              <w:rPr>
                <w:color w:val="000000" w:themeColor="text1"/>
                <w:sz w:val="20"/>
                <w:szCs w:val="20"/>
              </w:rPr>
              <w:t xml:space="preserve">er </w:t>
            </w:r>
            <w:r w:rsidRPr="005E2948">
              <w:rPr>
                <w:color w:val="000000" w:themeColor="text1"/>
                <w:sz w:val="20"/>
                <w:szCs w:val="20"/>
              </w:rPr>
              <w:t>Unterrichtende einen Account beim Anbieter. Die Schüler</w:t>
            </w:r>
            <w:r w:rsidR="00041FDD">
              <w:rPr>
                <w:color w:val="000000" w:themeColor="text1"/>
                <w:sz w:val="20"/>
                <w:szCs w:val="20"/>
              </w:rPr>
              <w:t>innen und Schüler</w:t>
            </w:r>
            <w:r w:rsidRPr="005E2948">
              <w:rPr>
                <w:color w:val="000000" w:themeColor="text1"/>
                <w:sz w:val="20"/>
                <w:szCs w:val="20"/>
              </w:rPr>
              <w:t xml:space="preserve"> müssen sich nicht authentifizieren. </w:t>
            </w:r>
          </w:p>
          <w:p w14:paraId="699EE4A3" w14:textId="2EE666F6" w:rsidR="00A375DE" w:rsidRDefault="006F5914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Mit Nearpod</w:t>
            </w:r>
            <w:r w:rsidRPr="004E1A0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375DE">
              <w:rPr>
                <w:color w:val="000000" w:themeColor="text1"/>
                <w:sz w:val="20"/>
                <w:szCs w:val="20"/>
              </w:rPr>
              <w:t xml:space="preserve">erstellte Einheiten eigenen sich für den Distanz- und Präsenzunterricht. Der Einsatz ist sowohl synchron als auch asynchron möglich. </w:t>
            </w:r>
          </w:p>
          <w:p w14:paraId="0FB61FED" w14:textId="77777777" w:rsidR="00A375DE" w:rsidRPr="005E2948" w:rsidRDefault="00A375DE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Wichtig: Die Schüler sollten nie ihren Klarnamen angeben. Sofern eine Zuordnung der Ergebnisse wichtig ist, sollte beispielsweise mit Zahlencodes gearbeitet werden. </w:t>
            </w:r>
          </w:p>
          <w:p w14:paraId="58F3915A" w14:textId="77777777" w:rsidR="00BD2731" w:rsidRDefault="00BD2731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131C03C3" w14:textId="77777777" w:rsidR="00387187" w:rsidRDefault="00C11F22" w:rsidP="005D6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Tutorial für die browserbasierte Anwendung </w:t>
            </w:r>
            <w:proofErr w:type="spellStart"/>
            <w:r w:rsidR="005E2948">
              <w:rPr>
                <w:color w:val="000000" w:themeColor="text1"/>
                <w:sz w:val="20"/>
                <w:szCs w:val="20"/>
              </w:rPr>
              <w:t>Nearpod</w:t>
            </w:r>
            <w:proofErr w:type="spellEnd"/>
            <w:r w:rsidR="005E2948">
              <w:rPr>
                <w:rStyle w:val="Funotenzeichen"/>
                <w:color w:val="000000" w:themeColor="text1"/>
                <w:sz w:val="20"/>
                <w:szCs w:val="20"/>
              </w:rPr>
              <w:footnoteReference w:id="2"/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="00F55EA8">
              <w:rPr>
                <w:color w:val="000000" w:themeColor="text1"/>
                <w:sz w:val="20"/>
                <w:szCs w:val="20"/>
              </w:rPr>
              <w:br/>
            </w:r>
            <w:hyperlink r:id="rId9" w:anchor="videos--section" w:history="1">
              <w:r w:rsidR="00F55EA8" w:rsidRPr="00F55EA8">
                <w:rPr>
                  <w:rStyle w:val="Hyperlink"/>
                  <w:sz w:val="20"/>
                  <w:szCs w:val="20"/>
                </w:rPr>
                <w:t>https://nearpod.com/resources#videos--</w:t>
              </w:r>
              <w:proofErr w:type="spellStart"/>
              <w:r w:rsidR="00F55EA8" w:rsidRPr="00F55EA8">
                <w:rPr>
                  <w:rStyle w:val="Hyperlink"/>
                  <w:sz w:val="20"/>
                  <w:szCs w:val="20"/>
                </w:rPr>
                <w:t>section</w:t>
              </w:r>
              <w:proofErr w:type="spellEnd"/>
            </w:hyperlink>
          </w:p>
          <w:p w14:paraId="34C9100E" w14:textId="77777777" w:rsidR="00EE6A8A" w:rsidRDefault="00EE6A8A" w:rsidP="005D6C3F">
            <w:pPr>
              <w:rPr>
                <w:color w:val="000000" w:themeColor="text1"/>
                <w:sz w:val="20"/>
                <w:szCs w:val="20"/>
              </w:rPr>
            </w:pPr>
          </w:p>
          <w:p w14:paraId="2079B61D" w14:textId="77777777" w:rsidR="00EE6A8A" w:rsidRDefault="00EE6A8A" w:rsidP="005D6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Beispieleinheiten findet man auf Englisch im Internet: </w:t>
            </w:r>
            <w:hyperlink r:id="rId10" w:history="1">
              <w:r w:rsidRPr="00EE6A8A">
                <w:rPr>
                  <w:rStyle w:val="Hyperlink"/>
                  <w:sz w:val="20"/>
                  <w:szCs w:val="20"/>
                </w:rPr>
                <w:t>https://nearpod.com/t/market/init</w:t>
              </w:r>
            </w:hyperlink>
          </w:p>
          <w:p w14:paraId="784C45E2" w14:textId="77777777" w:rsidR="00E44FD5" w:rsidRDefault="00E44FD5" w:rsidP="005D6C3F">
            <w:pPr>
              <w:rPr>
                <w:color w:val="000000" w:themeColor="text1"/>
                <w:sz w:val="20"/>
                <w:szCs w:val="20"/>
              </w:rPr>
            </w:pPr>
          </w:p>
          <w:p w14:paraId="2121D6A8" w14:textId="77777777" w:rsidR="00E44FD5" w:rsidRDefault="00E44FD5" w:rsidP="005D6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Beispiel für die Inhalte der Lerneinheit zur Wegbeschreibung:</w:t>
            </w:r>
          </w:p>
          <w:p w14:paraId="2A349FB5" w14:textId="77777777" w:rsidR="00E44FD5" w:rsidRDefault="00E44FD5" w:rsidP="005D6C3F">
            <w:pPr>
              <w:rPr>
                <w:color w:val="000000" w:themeColor="text1"/>
                <w:sz w:val="20"/>
                <w:szCs w:val="20"/>
              </w:rPr>
            </w:pPr>
          </w:p>
          <w:p w14:paraId="3FDFB0D4" w14:textId="5420E65B" w:rsidR="00E44FD5" w:rsidRDefault="00E44FD5" w:rsidP="00E44FD5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Lernvideo zur Wegbeschreibung</w:t>
            </w:r>
            <w:r w:rsidR="00041FDD">
              <w:rPr>
                <w:color w:val="000000" w:themeColor="text1"/>
                <w:sz w:val="20"/>
                <w:szCs w:val="20"/>
              </w:rPr>
              <w:t>.</w:t>
            </w:r>
          </w:p>
          <w:p w14:paraId="038F9933" w14:textId="0D3224E7" w:rsidR="00E44FD5" w:rsidRDefault="00E44FD5" w:rsidP="00E44FD5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Wortschatzübung</w:t>
            </w:r>
            <w:r w:rsidR="003C10E3">
              <w:rPr>
                <w:color w:val="000000" w:themeColor="text1"/>
                <w:sz w:val="20"/>
                <w:szCs w:val="20"/>
              </w:rPr>
              <w:t xml:space="preserve"> mit Quizlet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C10E3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3C10E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10E3" w:rsidRPr="003C10E3">
              <w:rPr>
                <w:rStyle w:val="Funotenzeichen"/>
              </w:rPr>
              <w:t>1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end"/>
            </w:r>
            <w:r w:rsidR="00041FDD">
              <w:rPr>
                <w:color w:val="000000" w:themeColor="text1"/>
                <w:sz w:val="20"/>
                <w:szCs w:val="20"/>
              </w:rPr>
              <w:t>.</w:t>
            </w:r>
          </w:p>
          <w:p w14:paraId="36F4E762" w14:textId="57BE5E59" w:rsidR="003C10E3" w:rsidRDefault="00041FDD" w:rsidP="003C10E3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</w:t>
            </w:r>
            <w:r w:rsidR="00E44FD5">
              <w:rPr>
                <w:color w:val="000000" w:themeColor="text1"/>
                <w:sz w:val="20"/>
                <w:szCs w:val="20"/>
              </w:rPr>
              <w:t>erschiedene Übungen von Learningapps.org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C10E3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3C10E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10E3" w:rsidRPr="003C10E3">
              <w:rPr>
                <w:rStyle w:val="Funotenzeichen"/>
              </w:rPr>
              <w:t>1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C5D7ABB" w14:textId="3D367185" w:rsidR="00E44FD5" w:rsidRPr="003C10E3" w:rsidRDefault="00E44FD5" w:rsidP="003C10E3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3C10E3">
              <w:rPr>
                <w:color w:val="000000" w:themeColor="text1"/>
                <w:sz w:val="20"/>
                <w:szCs w:val="20"/>
              </w:rPr>
              <w:t>ein Abschlussquiz über Kahoot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C10E3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3C10E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10E3" w:rsidRPr="003C10E3">
              <w:rPr>
                <w:rStyle w:val="Funotenzeichen"/>
              </w:rPr>
              <w:t>1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end"/>
            </w:r>
            <w:r w:rsidRPr="003C10E3">
              <w:rPr>
                <w:color w:val="000000" w:themeColor="text1"/>
                <w:sz w:val="20"/>
                <w:szCs w:val="20"/>
              </w:rPr>
              <w:t>, Socrative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C10E3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3C10E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10E3" w:rsidRPr="003C10E3">
              <w:rPr>
                <w:rStyle w:val="Funotenzeichen"/>
              </w:rPr>
              <w:t>1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end"/>
            </w:r>
            <w:r w:rsidRPr="003C10E3">
              <w:rPr>
                <w:color w:val="000000" w:themeColor="text1"/>
                <w:sz w:val="20"/>
                <w:szCs w:val="20"/>
              </w:rPr>
              <w:t xml:space="preserve"> oder Quizizz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C10E3">
              <w:rPr>
                <w:color w:val="000000" w:themeColor="text1"/>
                <w:sz w:val="20"/>
                <w:szCs w:val="20"/>
              </w:rPr>
              <w:instrText xml:space="preserve"> NOTEREF _Ref67830872 \f </w:instrText>
            </w:r>
            <w:r w:rsidR="003C10E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C10E3" w:rsidRPr="003C10E3">
              <w:rPr>
                <w:rStyle w:val="Funotenzeichen"/>
              </w:rPr>
              <w:t>1</w:t>
            </w:r>
            <w:r w:rsidR="003C10E3">
              <w:rPr>
                <w:color w:val="000000" w:themeColor="text1"/>
                <w:sz w:val="20"/>
                <w:szCs w:val="20"/>
              </w:rPr>
              <w:fldChar w:fldCharType="end"/>
            </w:r>
            <w:r w:rsidR="00041FDD">
              <w:rPr>
                <w:color w:val="000000" w:themeColor="text1"/>
                <w:sz w:val="20"/>
                <w:szCs w:val="20"/>
              </w:rPr>
              <w:t>.</w:t>
            </w:r>
          </w:p>
          <w:p w14:paraId="593A59DC" w14:textId="781F240E" w:rsidR="00E44FD5" w:rsidRDefault="00E44FD5" w:rsidP="00E44FD5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PDF mit einem Stadtplan und der Aufgabe, einen Dialog zur Wegbeschreibung zu formulieren und das Ergebnis ins Heft zu schreiben</w:t>
            </w:r>
            <w:r w:rsidR="00041FDD">
              <w:rPr>
                <w:color w:val="000000" w:themeColor="text1"/>
                <w:sz w:val="20"/>
                <w:szCs w:val="20"/>
              </w:rPr>
              <w:t>.</w:t>
            </w:r>
          </w:p>
          <w:p w14:paraId="2E962590" w14:textId="6455AB83" w:rsidR="00705F05" w:rsidRPr="00E44FD5" w:rsidRDefault="00705F05" w:rsidP="00E44FD5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Kurzfeedback zur Einheit</w:t>
            </w:r>
            <w:r w:rsidR="00041FD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A6D54BB" w14:textId="77777777" w:rsidR="00F36241" w:rsidRDefault="00F36241">
      <w:pPr>
        <w:rPr>
          <w:sz w:val="20"/>
          <w:szCs w:val="20"/>
        </w:rPr>
      </w:pPr>
    </w:p>
    <w:p w14:paraId="6F585229" w14:textId="77777777" w:rsidR="003C10E3" w:rsidRPr="003C10E3" w:rsidRDefault="003C10E3">
      <w:pPr>
        <w:rPr>
          <w:sz w:val="20"/>
          <w:szCs w:val="20"/>
        </w:rPr>
      </w:pPr>
      <w:r>
        <w:rPr>
          <w:sz w:val="20"/>
          <w:szCs w:val="20"/>
        </w:rPr>
        <w:t>Die hier aufgeführten browserbasierten Anwendungen können direkt in Nearpod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NOTEREF _Ref67830872 \f </w:instrText>
      </w:r>
      <w:r>
        <w:rPr>
          <w:sz w:val="20"/>
          <w:szCs w:val="20"/>
        </w:rPr>
        <w:fldChar w:fldCharType="separate"/>
      </w:r>
      <w:r w:rsidRPr="003C10E3">
        <w:rPr>
          <w:rStyle w:val="Funotenzeichen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integriert werden. Teilweise bietet Nearpod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NOTEREF _Ref67830872 \f </w:instrText>
      </w:r>
      <w:r>
        <w:rPr>
          <w:sz w:val="20"/>
          <w:szCs w:val="20"/>
        </w:rPr>
        <w:fldChar w:fldCharType="separate"/>
      </w:r>
      <w:r w:rsidRPr="003C10E3">
        <w:rPr>
          <w:rStyle w:val="Funotenzeichen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aber ich schon integrierte Lösungen an. </w:t>
      </w:r>
    </w:p>
    <w:p w14:paraId="2A54F2FF" w14:textId="77777777" w:rsidR="00CE5CF6" w:rsidRDefault="00CE5CF6" w:rsidP="00CE5CF6"/>
    <w:p w14:paraId="17FADD1B" w14:textId="77777777" w:rsidR="003C10E3" w:rsidRPr="00CE5CF6" w:rsidRDefault="003C10E3" w:rsidP="00CE5CF6">
      <w:pPr>
        <w:sectPr w:rsidR="003C10E3" w:rsidRPr="00CE5CF6" w:rsidSect="00627D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5C032386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E011EB1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04F819A8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76A07F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3CFCFCB3" w14:textId="77777777" w:rsidR="00245F84" w:rsidRDefault="00CE5CF6" w:rsidP="00F55EA8">
      <w:pPr>
        <w:pStyle w:val="Listenabsatz"/>
        <w:numPr>
          <w:ilvl w:val="0"/>
          <w:numId w:val="27"/>
        </w:numPr>
        <w:rPr>
          <w:sz w:val="20"/>
          <w:szCs w:val="20"/>
        </w:rPr>
      </w:pPr>
      <w:r w:rsidRPr="00F55EA8">
        <w:rPr>
          <w:sz w:val="20"/>
          <w:szCs w:val="20"/>
        </w:rPr>
        <w:t>Öffnet d</w:t>
      </w:r>
      <w:r w:rsidR="00F55EA8" w:rsidRPr="00F55EA8">
        <w:rPr>
          <w:sz w:val="20"/>
          <w:szCs w:val="20"/>
        </w:rPr>
        <w:t>en erhaltenen Link in einem Browser eurer Wahl.</w:t>
      </w:r>
    </w:p>
    <w:p w14:paraId="5077417C" w14:textId="77777777" w:rsidR="00F55EA8" w:rsidRDefault="00F55EA8" w:rsidP="00F55EA8">
      <w:pPr>
        <w:pStyle w:val="Listenabsatz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Bearbeitet die einzelnen interaktiven Seiten in eurem Lerntempo. </w:t>
      </w:r>
    </w:p>
    <w:p w14:paraId="0A17FF74" w14:textId="77777777" w:rsidR="00705F05" w:rsidRDefault="00705F05" w:rsidP="00F55EA8">
      <w:pPr>
        <w:pStyle w:val="Listenabsatz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Lest die Arbeitsaufträge immer sehr genau!</w:t>
      </w:r>
    </w:p>
    <w:p w14:paraId="55AFAA9B" w14:textId="527129F3" w:rsidR="00F55EA8" w:rsidRPr="00F55EA8" w:rsidRDefault="00F55EA8" w:rsidP="00F55EA8">
      <w:pPr>
        <w:pStyle w:val="Listenabsatz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Bei Fragen könnt ihr euch per Messenger oder </w:t>
      </w:r>
      <w:r w:rsidR="00913BEC">
        <w:rPr>
          <w:sz w:val="20"/>
          <w:szCs w:val="20"/>
        </w:rPr>
        <w:t>E-Mail</w:t>
      </w:r>
      <w:r>
        <w:rPr>
          <w:sz w:val="20"/>
          <w:szCs w:val="20"/>
        </w:rPr>
        <w:t xml:space="preserve"> an die Lehrkraft wenden. </w:t>
      </w:r>
    </w:p>
    <w:p w14:paraId="4F30CF41" w14:textId="77777777" w:rsidR="00F55EA8" w:rsidRDefault="00F55EA8" w:rsidP="00F55EA8">
      <w:pPr>
        <w:rPr>
          <w:sz w:val="20"/>
          <w:szCs w:val="20"/>
        </w:rPr>
      </w:pPr>
    </w:p>
    <w:p w14:paraId="1E8BCD60" w14:textId="77777777" w:rsidR="00F55EA8" w:rsidRPr="00F55EA8" w:rsidRDefault="00F55EA8" w:rsidP="00F55EA8">
      <w:pPr>
        <w:rPr>
          <w:sz w:val="20"/>
          <w:szCs w:val="20"/>
        </w:rPr>
        <w:sectPr w:rsidR="00F55EA8" w:rsidRPr="00F55EA8" w:rsidSect="00E71E3A">
          <w:headerReference w:type="default" r:id="rId17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235447B1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452B0C4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39EA12CB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34F07C5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63DFC3E5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2FD3DE73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1357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1C0B5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A99E6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EE498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48578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15F3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1CC1484A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D14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72A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323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68E5A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D71A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FA6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CB5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50353867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EE2A" w14:textId="242FCB54" w:rsidR="00A32F4B" w:rsidRPr="0049221D" w:rsidRDefault="00E44FD5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30-45</w:t>
            </w:r>
            <w:r w:rsidR="00041FDD">
              <w:rPr>
                <w:sz w:val="16"/>
              </w:rPr>
              <w:t xml:space="preserve"> min</w:t>
            </w:r>
            <w:r>
              <w:rPr>
                <w:sz w:val="16"/>
              </w:rPr>
              <w:t xml:space="preserve"> </w:t>
            </w:r>
            <w:r w:rsidR="00CE5CF6">
              <w:rPr>
                <w:sz w:val="16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8C55" w14:textId="77777777" w:rsidR="00A32F4B" w:rsidRPr="0049221D" w:rsidRDefault="00CE5CF6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E, 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93B" w14:textId="0691C81D" w:rsidR="00A32F4B" w:rsidRPr="0049221D" w:rsidRDefault="00E44FD5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S verstehen eine Wegbeschreibung und geben selbst eine solche in einfachen Worten wieder.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C1F" w14:textId="3A945D02" w:rsidR="00A32F4B" w:rsidRPr="0049221D" w:rsidRDefault="00CE5CF6" w:rsidP="00C86DD4">
            <w:pPr>
              <w:rPr>
                <w:sz w:val="16"/>
              </w:rPr>
            </w:pPr>
            <w:r>
              <w:rPr>
                <w:sz w:val="16"/>
              </w:rPr>
              <w:t>L stellt S den Link auf d</w:t>
            </w:r>
            <w:r w:rsidR="00041FDD">
              <w:rPr>
                <w:sz w:val="16"/>
              </w:rPr>
              <w:t>er</w:t>
            </w:r>
            <w:r w:rsidR="00E44FD5">
              <w:rPr>
                <w:sz w:val="16"/>
              </w:rPr>
              <w:t xml:space="preserve"> </w:t>
            </w:r>
            <w:proofErr w:type="gramStart"/>
            <w:r w:rsidR="00E44FD5">
              <w:rPr>
                <w:sz w:val="16"/>
              </w:rPr>
              <w:t>Selbstlerneinheit  den</w:t>
            </w:r>
            <w:proofErr w:type="gramEnd"/>
            <w:r w:rsidR="00E44FD5">
              <w:rPr>
                <w:sz w:val="16"/>
              </w:rPr>
              <w:t xml:space="preserve"> S bereit (</w:t>
            </w:r>
            <w:r>
              <w:rPr>
                <w:sz w:val="16"/>
              </w:rPr>
              <w:t>Messenger, Chat</w:t>
            </w:r>
            <w:r w:rsidR="00E44FD5">
              <w:rPr>
                <w:sz w:val="16"/>
              </w:rPr>
              <w:t>,</w:t>
            </w:r>
            <w:r w:rsidR="00041FDD">
              <w:rPr>
                <w:sz w:val="16"/>
              </w:rPr>
              <w:t xml:space="preserve"> </w:t>
            </w:r>
            <w:r w:rsidR="00E44FD5">
              <w:rPr>
                <w:sz w:val="16"/>
              </w:rPr>
              <w:t>Mail</w:t>
            </w:r>
            <w:r>
              <w:rPr>
                <w:sz w:val="16"/>
              </w:rPr>
              <w:t>)</w:t>
            </w:r>
            <w:r w:rsidR="00041FDD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303" w14:textId="77777777" w:rsidR="00CE5CF6" w:rsidRPr="0049221D" w:rsidRDefault="00CE5CF6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S </w:t>
            </w:r>
            <w:r w:rsidR="00E44FD5">
              <w:rPr>
                <w:sz w:val="16"/>
              </w:rPr>
              <w:t xml:space="preserve">bearbeiten im eigenen Lerntempo die Selbstlerneinheit. In einer weiteren Phase können die Ergebnisse dann besprochen und Fragen geklärt werden.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B4F" w14:textId="2D91DD55" w:rsidR="00CE5CF6" w:rsidRPr="00CE5CF6" w:rsidRDefault="00904D29" w:rsidP="00CE5CF6">
            <w:pPr>
              <w:rPr>
                <w:sz w:val="16"/>
                <w:szCs w:val="15"/>
              </w:rPr>
            </w:pPr>
            <w:hyperlink r:id="rId18" w:history="1">
              <w:r w:rsidR="00041FDD" w:rsidRPr="003819C3">
                <w:rPr>
                  <w:rStyle w:val="Hyperlink"/>
                  <w:sz w:val="16"/>
                  <w:szCs w:val="15"/>
                </w:rPr>
                <w:t>www.nearpod.com</w:t>
              </w:r>
            </w:hyperlink>
          </w:p>
          <w:p w14:paraId="2F31BADC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680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A32F4B" w:rsidRPr="0049221D" w14:paraId="1CA572BF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A155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1285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D96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217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AF4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A03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D8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122FC4CF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4D9DEE3F" w14:textId="4FE4D53A" w:rsidR="00A32F4B" w:rsidRPr="00041FDD" w:rsidRDefault="00A32F4B" w:rsidP="00A32F4B">
      <w:pPr>
        <w:rPr>
          <w:rFonts w:eastAsia="Calibri"/>
          <w:b/>
          <w:bCs/>
          <w:sz w:val="16"/>
          <w:szCs w:val="18"/>
        </w:rPr>
      </w:pPr>
      <w:r w:rsidRPr="00041FDD">
        <w:rPr>
          <w:rFonts w:eastAsia="Calibri"/>
          <w:b/>
          <w:bCs/>
          <w:sz w:val="16"/>
          <w:szCs w:val="18"/>
        </w:rPr>
        <w:t>Abkürzungen</w:t>
      </w:r>
      <w:r w:rsidR="00041FDD">
        <w:rPr>
          <w:rFonts w:eastAsia="Calibri"/>
          <w:b/>
          <w:bCs/>
          <w:sz w:val="16"/>
          <w:szCs w:val="18"/>
        </w:rPr>
        <w:t>:</w:t>
      </w:r>
    </w:p>
    <w:p w14:paraId="3EC9D7CE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6068C968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2F03973D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37CDCDB0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6D589A33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7B207861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27B72A22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38D82ECC" w14:textId="77777777" w:rsidR="007C393C" w:rsidRPr="00EF06AB" w:rsidRDefault="00EF06AB" w:rsidP="00E25C0F">
      <w:pPr>
        <w:rPr>
          <w:rStyle w:val="IntensiveHervorhebung"/>
          <w:color w:val="BFBFBF" w:themeColor="background1" w:themeShade="BF"/>
        </w:rPr>
      </w:pPr>
      <w:r>
        <w:rPr>
          <w:rStyle w:val="IntensiveHervorhebung"/>
          <w:color w:val="BFBFBF" w:themeColor="background1" w:themeShade="BF"/>
        </w:rPr>
        <w:tab/>
      </w:r>
      <w:r>
        <w:rPr>
          <w:rStyle w:val="IntensiveHervorhebung"/>
          <w:color w:val="BFBFBF" w:themeColor="background1" w:themeShade="BF"/>
        </w:rPr>
        <w:tab/>
      </w:r>
    </w:p>
    <w:p w14:paraId="588816C8" w14:textId="77777777" w:rsidR="007C393C" w:rsidRPr="00EF06AB" w:rsidRDefault="007C393C" w:rsidP="00E25C0F">
      <w:pPr>
        <w:rPr>
          <w:rStyle w:val="IntensiveHervorhebung"/>
          <w:color w:val="BFBFBF" w:themeColor="background1" w:themeShade="BF"/>
        </w:rPr>
      </w:pPr>
    </w:p>
    <w:p w14:paraId="77DEEC37" w14:textId="77777777" w:rsidR="007C393C" w:rsidRPr="00EF06AB" w:rsidRDefault="007C393C" w:rsidP="00E25C0F">
      <w:pPr>
        <w:rPr>
          <w:rStyle w:val="IntensiveHervorhebung"/>
          <w:color w:val="BFBFBF" w:themeColor="background1" w:themeShade="BF"/>
        </w:rPr>
      </w:pPr>
    </w:p>
    <w:p w14:paraId="3E18F9F5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5F3A0F22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5163711A" w14:textId="77777777" w:rsidR="00EF22A8" w:rsidRPr="00EF22A8" w:rsidRDefault="00EF22A8" w:rsidP="00EF22A8"/>
    <w:p w14:paraId="6EF6E5E8" w14:textId="77777777" w:rsidR="00EF22A8" w:rsidRPr="00EF22A8" w:rsidRDefault="00EF22A8" w:rsidP="00EF22A8"/>
    <w:p w14:paraId="10DEF1F7" w14:textId="77777777" w:rsidR="00EF22A8" w:rsidRPr="00EF22A8" w:rsidRDefault="00EF22A8" w:rsidP="00EF22A8"/>
    <w:p w14:paraId="53F54DCC" w14:textId="77777777" w:rsidR="00EF06AB" w:rsidRDefault="00EF06AB" w:rsidP="00EF22A8"/>
    <w:p w14:paraId="04B66660" w14:textId="77777777" w:rsidR="007234AE" w:rsidRDefault="007234AE" w:rsidP="00EF22A8"/>
    <w:p w14:paraId="64822D7D" w14:textId="77777777" w:rsidR="007234AE" w:rsidRDefault="007234AE" w:rsidP="00EF22A8"/>
    <w:p w14:paraId="71181296" w14:textId="77777777" w:rsidR="007234AE" w:rsidRDefault="007234AE" w:rsidP="00EF22A8"/>
    <w:p w14:paraId="438E0033" w14:textId="77777777" w:rsidR="007234AE" w:rsidRDefault="007234AE" w:rsidP="00EF22A8"/>
    <w:p w14:paraId="39AA7A2C" w14:textId="77777777" w:rsidR="007234AE" w:rsidRDefault="007234AE" w:rsidP="00EF22A8"/>
    <w:p w14:paraId="5C1DB510" w14:textId="77777777" w:rsidR="007234AE" w:rsidRDefault="007234AE" w:rsidP="00EF22A8">
      <w:pPr>
        <w:sectPr w:rsidR="007234AE" w:rsidSect="00E71E3A">
          <w:headerReference w:type="first" r:id="rId19"/>
          <w:pgSz w:w="16838" w:h="11906" w:orient="landscape" w:code="9"/>
          <w:pgMar w:top="851" w:right="1133" w:bottom="284" w:left="851" w:header="709" w:footer="520" w:gutter="0"/>
          <w:cols w:space="708"/>
          <w:titlePg/>
          <w:docGrid w:linePitch="360"/>
        </w:sectPr>
      </w:pPr>
    </w:p>
    <w:p w14:paraId="7AB800CC" w14:textId="77777777" w:rsidR="007234AE" w:rsidRPr="00B41196" w:rsidRDefault="007234AE" w:rsidP="007234AE">
      <w:pPr>
        <w:rPr>
          <w:sz w:val="20"/>
        </w:rPr>
      </w:pPr>
      <w:bookmarkStart w:id="2" w:name="_Hlk67953113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0771"/>
      </w:tblGrid>
      <w:tr w:rsidR="007234AE" w:rsidRPr="008945B0" w14:paraId="24EE2EC7" w14:textId="77777777" w:rsidTr="00B2585A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0039816" w14:textId="77777777" w:rsidR="007234AE" w:rsidRPr="008945B0" w:rsidRDefault="007234AE" w:rsidP="00B2585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7234AE" w:rsidRPr="00B41196" w14:paraId="7671C499" w14:textId="77777777" w:rsidTr="00B258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855744" w14:textId="77777777" w:rsidR="007234AE" w:rsidRPr="00B41196" w:rsidRDefault="007234AE" w:rsidP="00B2585A">
            <w:pPr>
              <w:rPr>
                <w:sz w:val="20"/>
              </w:rPr>
            </w:pPr>
          </w:p>
        </w:tc>
      </w:tr>
    </w:tbl>
    <w:p w14:paraId="05901187" w14:textId="77777777" w:rsidR="007234AE" w:rsidRPr="00533F91" w:rsidRDefault="007234AE" w:rsidP="007234AE">
      <w:pPr>
        <w:rPr>
          <w:b/>
        </w:rPr>
      </w:pPr>
    </w:p>
    <w:p w14:paraId="02FD29E9" w14:textId="77777777" w:rsidR="007234AE" w:rsidRPr="00B53D26" w:rsidRDefault="007234AE" w:rsidP="007234AE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453D7628" w14:textId="77777777" w:rsidR="007234AE" w:rsidRPr="00B53D26" w:rsidRDefault="007234AE" w:rsidP="007234AE">
      <w:pPr>
        <w:rPr>
          <w:b/>
          <w:sz w:val="20"/>
          <w:szCs w:val="20"/>
        </w:rPr>
      </w:pPr>
    </w:p>
    <w:p w14:paraId="61EAC44F" w14:textId="3CC345FC" w:rsidR="007234AE" w:rsidRPr="00B53D26" w:rsidRDefault="007234AE" w:rsidP="007234AE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5A084C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0679EB23" w14:textId="77777777" w:rsidR="007234AE" w:rsidRPr="00B53D26" w:rsidRDefault="007234AE" w:rsidP="007234AE">
      <w:pPr>
        <w:rPr>
          <w:sz w:val="20"/>
          <w:szCs w:val="20"/>
          <w:u w:val="single"/>
        </w:rPr>
      </w:pPr>
    </w:p>
    <w:p w14:paraId="0E3E486D" w14:textId="77777777" w:rsidR="007234AE" w:rsidRPr="00B53D26" w:rsidRDefault="007234AE" w:rsidP="007234AE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066D459C" w14:textId="77777777" w:rsidR="007234AE" w:rsidRPr="00B53D26" w:rsidRDefault="007234AE" w:rsidP="007234AE">
      <w:pPr>
        <w:rPr>
          <w:sz w:val="20"/>
          <w:szCs w:val="20"/>
        </w:rPr>
      </w:pPr>
    </w:p>
    <w:p w14:paraId="29141424" w14:textId="5E7EB2A6" w:rsidR="007234AE" w:rsidRPr="00B53D26" w:rsidRDefault="00904D29" w:rsidP="007234AE">
      <w:pPr>
        <w:rPr>
          <w:sz w:val="20"/>
          <w:szCs w:val="20"/>
        </w:rPr>
      </w:pPr>
      <w:hyperlink r:id="rId20" w:history="1">
        <w:r w:rsidR="005A084C" w:rsidRPr="003819C3">
          <w:rPr>
            <w:rStyle w:val="Hyperlink"/>
            <w:sz w:val="20"/>
            <w:szCs w:val="20"/>
          </w:rPr>
          <w:t>www.zsl-bw.de/impressum</w:t>
        </w:r>
      </w:hyperlink>
    </w:p>
    <w:bookmarkEnd w:id="2"/>
    <w:p w14:paraId="025571D6" w14:textId="77777777" w:rsidR="007234AE" w:rsidRPr="00EF22A8" w:rsidRDefault="007234AE" w:rsidP="00EF22A8"/>
    <w:sectPr w:rsidR="007234AE" w:rsidRPr="00EF22A8" w:rsidSect="007234AE">
      <w:pgSz w:w="11906" w:h="16838" w:code="9"/>
      <w:pgMar w:top="851" w:right="851" w:bottom="1133" w:left="284" w:header="709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7F39" w14:textId="77777777" w:rsidR="00904D29" w:rsidRDefault="00904D29" w:rsidP="001E03DE">
      <w:r>
        <w:separator/>
      </w:r>
    </w:p>
  </w:endnote>
  <w:endnote w:type="continuationSeparator" w:id="0">
    <w:p w14:paraId="20CD4DB4" w14:textId="77777777" w:rsidR="00904D29" w:rsidRDefault="00904D2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B964" w14:textId="77777777" w:rsidR="00627D36" w:rsidRDefault="00627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565D" w14:textId="751AED6B" w:rsidR="00245F84" w:rsidRDefault="00627D36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51315A3" wp14:editId="6831DA1D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 w:rsidR="007C393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20E8" w14:textId="62896E28" w:rsidR="00E8736C" w:rsidRDefault="00627D36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D53E97E" wp14:editId="2731755F">
          <wp:extent cx="579120" cy="1727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 w:rsidR="007C393C">
      <w:tab/>
    </w:r>
    <w:r w:rsidR="007C393C">
      <w:tab/>
    </w:r>
    <w:r w:rsidR="007C393C">
      <w:tab/>
    </w:r>
    <w:r w:rsidR="007C393C">
      <w:tab/>
    </w:r>
    <w:r w:rsidR="007C393C">
      <w:tab/>
    </w:r>
    <w:r w:rsidR="00EF22A8">
      <w:tab/>
    </w:r>
    <w:r w:rsidR="00EF22A8">
      <w:tab/>
    </w:r>
    <w:r w:rsidR="00EF22A8"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E089" w14:textId="77777777" w:rsidR="00904D29" w:rsidRDefault="00904D29" w:rsidP="001E03DE">
      <w:r>
        <w:separator/>
      </w:r>
    </w:p>
  </w:footnote>
  <w:footnote w:type="continuationSeparator" w:id="0">
    <w:p w14:paraId="218B3DC2" w14:textId="77777777" w:rsidR="00904D29" w:rsidRDefault="00904D29" w:rsidP="001E03DE">
      <w:r>
        <w:continuationSeparator/>
      </w:r>
    </w:p>
  </w:footnote>
  <w:footnote w:id="1">
    <w:p w14:paraId="4DA6E525" w14:textId="77777777" w:rsidR="007234AE" w:rsidRDefault="007234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 xml:space="preserve">des </w:t>
      </w:r>
      <w:proofErr w:type="spellStart"/>
      <w:r>
        <w:rPr>
          <w:sz w:val="18"/>
          <w:szCs w:val="18"/>
        </w:rPr>
        <w:t>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proofErr w:type="spellEnd"/>
      <w:r w:rsidRPr="00533F91">
        <w:rPr>
          <w:sz w:val="18"/>
          <w:szCs w:val="18"/>
        </w:rPr>
        <w:t xml:space="preserve"> die rechtlichen Hinweise am Ende dieses Dokuments.</w:t>
      </w:r>
    </w:p>
  </w:footnote>
  <w:footnote w:id="2">
    <w:p w14:paraId="16B1ACB0" w14:textId="77777777" w:rsidR="005E2948" w:rsidRDefault="005E294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 xml:space="preserve">des </w:t>
      </w:r>
      <w:proofErr w:type="spellStart"/>
      <w:r>
        <w:rPr>
          <w:sz w:val="18"/>
          <w:szCs w:val="18"/>
        </w:rPr>
        <w:t>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proofErr w:type="spellEnd"/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1EC0" w14:textId="77777777" w:rsidR="00627D36" w:rsidRDefault="00627D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FC51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73AE7C9" wp14:editId="09DADF24">
          <wp:extent cx="1197429" cy="357128"/>
          <wp:effectExtent l="0" t="0" r="3175" b="508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2CAF28BE" wp14:editId="56BAD17F">
          <wp:extent cx="1269242" cy="475249"/>
          <wp:effectExtent l="0" t="0" r="7620" b="1270"/>
          <wp:docPr id="16" name="Grafik 16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DA921B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0C1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5803D21F" wp14:editId="25A0D910">
          <wp:extent cx="1269242" cy="475249"/>
          <wp:effectExtent l="0" t="0" r="7620" b="1270"/>
          <wp:docPr id="17" name="Grafik 17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D5CFEC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0698" w14:textId="4EFBBA12" w:rsidR="00EF06AB" w:rsidRDefault="00627D36" w:rsidP="00EF06AB">
    <w:pPr>
      <w:pStyle w:val="Kopfzeile"/>
      <w:ind w:right="565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30958CF" wp14:editId="78A0E19A">
          <wp:extent cx="1197429" cy="357128"/>
          <wp:effectExtent l="0" t="0" r="317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F06AB">
      <w:tab/>
    </w:r>
    <w:r w:rsidR="00EF06AB">
      <w:rPr>
        <w:noProof/>
      </w:rPr>
      <w:drawing>
        <wp:inline distT="0" distB="0" distL="0" distR="0" wp14:anchorId="26B40093" wp14:editId="6286BEFF">
          <wp:extent cx="1269242" cy="475249"/>
          <wp:effectExtent l="0" t="0" r="7620" b="1270"/>
          <wp:docPr id="1" name="Grafik 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59B668" w14:textId="77777777" w:rsidR="00EF06AB" w:rsidRPr="00E71E3A" w:rsidRDefault="00EF06AB" w:rsidP="00E71E3A">
    <w:pPr>
      <w:pStyle w:val="Kopfzeile"/>
      <w:ind w:right="423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1C9F" w14:textId="2A1E1863" w:rsidR="00E71E3A" w:rsidRDefault="00627D36" w:rsidP="00E71E3A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5F9A4B41" wp14:editId="5733E891">
          <wp:simplePos x="0" y="0"/>
          <wp:positionH relativeFrom="column">
            <wp:posOffset>-26311</wp:posOffset>
          </wp:positionH>
          <wp:positionV relativeFrom="paragraph">
            <wp:posOffset>113030</wp:posOffset>
          </wp:positionV>
          <wp:extent cx="1197429" cy="35712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E71E3A">
      <w:rPr>
        <w:noProof/>
      </w:rPr>
      <w:drawing>
        <wp:inline distT="0" distB="0" distL="0" distR="0" wp14:anchorId="665A344C" wp14:editId="2D952486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BEC2E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77"/>
    <w:multiLevelType w:val="hybridMultilevel"/>
    <w:tmpl w:val="147078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4DA"/>
    <w:multiLevelType w:val="hybridMultilevel"/>
    <w:tmpl w:val="68E469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D2EF1"/>
    <w:multiLevelType w:val="hybridMultilevel"/>
    <w:tmpl w:val="99A01F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5B1E"/>
    <w:multiLevelType w:val="hybridMultilevel"/>
    <w:tmpl w:val="C1FA0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0"/>
  </w:num>
  <w:num w:numId="7">
    <w:abstractNumId w:val="25"/>
  </w:num>
  <w:num w:numId="8">
    <w:abstractNumId w:val="24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22"/>
  </w:num>
  <w:num w:numId="18">
    <w:abstractNumId w:val="13"/>
  </w:num>
  <w:num w:numId="19">
    <w:abstractNumId w:val="15"/>
  </w:num>
  <w:num w:numId="20">
    <w:abstractNumId w:val="1"/>
  </w:num>
  <w:num w:numId="21">
    <w:abstractNumId w:val="26"/>
  </w:num>
  <w:num w:numId="22">
    <w:abstractNumId w:val="3"/>
  </w:num>
  <w:num w:numId="23">
    <w:abstractNumId w:val="9"/>
  </w:num>
  <w:num w:numId="24">
    <w:abstractNumId w:val="23"/>
  </w:num>
  <w:num w:numId="25">
    <w:abstractNumId w:val="20"/>
  </w:num>
  <w:num w:numId="26">
    <w:abstractNumId w:val="16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CF"/>
    <w:rsid w:val="000008CD"/>
    <w:rsid w:val="00041FDD"/>
    <w:rsid w:val="000757A5"/>
    <w:rsid w:val="000B467F"/>
    <w:rsid w:val="000C21B2"/>
    <w:rsid w:val="000F0B03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14B1D"/>
    <w:rsid w:val="00341752"/>
    <w:rsid w:val="00354D79"/>
    <w:rsid w:val="003821D0"/>
    <w:rsid w:val="00387187"/>
    <w:rsid w:val="00396DCF"/>
    <w:rsid w:val="003C10E3"/>
    <w:rsid w:val="003D1E31"/>
    <w:rsid w:val="00403DAE"/>
    <w:rsid w:val="0041066C"/>
    <w:rsid w:val="00410EE8"/>
    <w:rsid w:val="00427F24"/>
    <w:rsid w:val="0044650F"/>
    <w:rsid w:val="00466C17"/>
    <w:rsid w:val="0049221D"/>
    <w:rsid w:val="00530822"/>
    <w:rsid w:val="0053453C"/>
    <w:rsid w:val="005427B2"/>
    <w:rsid w:val="00556A9B"/>
    <w:rsid w:val="00566885"/>
    <w:rsid w:val="005A084C"/>
    <w:rsid w:val="005A7BFB"/>
    <w:rsid w:val="005B3ACD"/>
    <w:rsid w:val="005B57CC"/>
    <w:rsid w:val="005C40E6"/>
    <w:rsid w:val="005D6C3F"/>
    <w:rsid w:val="005E2948"/>
    <w:rsid w:val="005F6830"/>
    <w:rsid w:val="006253B1"/>
    <w:rsid w:val="00627D36"/>
    <w:rsid w:val="00647828"/>
    <w:rsid w:val="0065572F"/>
    <w:rsid w:val="006604D1"/>
    <w:rsid w:val="00660930"/>
    <w:rsid w:val="00672146"/>
    <w:rsid w:val="006744E0"/>
    <w:rsid w:val="006778FA"/>
    <w:rsid w:val="00690612"/>
    <w:rsid w:val="006B185C"/>
    <w:rsid w:val="006D3BE1"/>
    <w:rsid w:val="006E51B6"/>
    <w:rsid w:val="006E6B3C"/>
    <w:rsid w:val="006F5914"/>
    <w:rsid w:val="00705F05"/>
    <w:rsid w:val="007234AE"/>
    <w:rsid w:val="007256C9"/>
    <w:rsid w:val="00731BC5"/>
    <w:rsid w:val="00767A8D"/>
    <w:rsid w:val="00793354"/>
    <w:rsid w:val="00794B59"/>
    <w:rsid w:val="007B2FDA"/>
    <w:rsid w:val="007C393C"/>
    <w:rsid w:val="00806E8A"/>
    <w:rsid w:val="00833D7B"/>
    <w:rsid w:val="008501E4"/>
    <w:rsid w:val="00886368"/>
    <w:rsid w:val="008945B0"/>
    <w:rsid w:val="008A53F2"/>
    <w:rsid w:val="008A57F9"/>
    <w:rsid w:val="008A7911"/>
    <w:rsid w:val="008C4E5B"/>
    <w:rsid w:val="008D2CBC"/>
    <w:rsid w:val="008E2772"/>
    <w:rsid w:val="00904D29"/>
    <w:rsid w:val="009125C3"/>
    <w:rsid w:val="00913BEC"/>
    <w:rsid w:val="009413B3"/>
    <w:rsid w:val="00947324"/>
    <w:rsid w:val="009533B3"/>
    <w:rsid w:val="009935DA"/>
    <w:rsid w:val="009A50ED"/>
    <w:rsid w:val="009C05F9"/>
    <w:rsid w:val="009C61C3"/>
    <w:rsid w:val="009D0328"/>
    <w:rsid w:val="009D4E2C"/>
    <w:rsid w:val="00A15178"/>
    <w:rsid w:val="00A32F4B"/>
    <w:rsid w:val="00A370B2"/>
    <w:rsid w:val="00A375DE"/>
    <w:rsid w:val="00A74598"/>
    <w:rsid w:val="00A80FBD"/>
    <w:rsid w:val="00A825CF"/>
    <w:rsid w:val="00A83BDD"/>
    <w:rsid w:val="00AB3073"/>
    <w:rsid w:val="00AD7A33"/>
    <w:rsid w:val="00B27C6C"/>
    <w:rsid w:val="00B41196"/>
    <w:rsid w:val="00B75613"/>
    <w:rsid w:val="00BA4777"/>
    <w:rsid w:val="00BD2731"/>
    <w:rsid w:val="00BF7BA8"/>
    <w:rsid w:val="00C00FA9"/>
    <w:rsid w:val="00C11F22"/>
    <w:rsid w:val="00C21D22"/>
    <w:rsid w:val="00C22DA6"/>
    <w:rsid w:val="00C3404A"/>
    <w:rsid w:val="00C5246C"/>
    <w:rsid w:val="00C71C82"/>
    <w:rsid w:val="00C900D3"/>
    <w:rsid w:val="00CB4C28"/>
    <w:rsid w:val="00CD0B7D"/>
    <w:rsid w:val="00CD2E24"/>
    <w:rsid w:val="00CD6932"/>
    <w:rsid w:val="00CE5CF6"/>
    <w:rsid w:val="00CE7447"/>
    <w:rsid w:val="00D36C9A"/>
    <w:rsid w:val="00DB04B9"/>
    <w:rsid w:val="00DC44CF"/>
    <w:rsid w:val="00E25C0F"/>
    <w:rsid w:val="00E26655"/>
    <w:rsid w:val="00E33EFA"/>
    <w:rsid w:val="00E371E9"/>
    <w:rsid w:val="00E44FD5"/>
    <w:rsid w:val="00E55EF6"/>
    <w:rsid w:val="00E57850"/>
    <w:rsid w:val="00E63315"/>
    <w:rsid w:val="00E71E3A"/>
    <w:rsid w:val="00E8736C"/>
    <w:rsid w:val="00ED22A6"/>
    <w:rsid w:val="00EE2E81"/>
    <w:rsid w:val="00EE6A8A"/>
    <w:rsid w:val="00EF06AB"/>
    <w:rsid w:val="00EF22A8"/>
    <w:rsid w:val="00EF726E"/>
    <w:rsid w:val="00F171ED"/>
    <w:rsid w:val="00F23363"/>
    <w:rsid w:val="00F36241"/>
    <w:rsid w:val="00F44A67"/>
    <w:rsid w:val="00F55EA8"/>
    <w:rsid w:val="00F740C9"/>
    <w:rsid w:val="00F749E3"/>
    <w:rsid w:val="00F93988"/>
    <w:rsid w:val="00FC49A2"/>
    <w:rsid w:val="00FC557E"/>
    <w:rsid w:val="00FD6103"/>
    <w:rsid w:val="00FE77E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17A3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4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234A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7234A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rpod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nearpo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zsl-bw.d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earpod.com/t/market/init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nearpod.com/resource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833E-424B-466B-97C2-F3A47C75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Steffen Maisch</cp:lastModifiedBy>
  <cp:revision>6</cp:revision>
  <cp:lastPrinted>2014-12-09T17:56:00Z</cp:lastPrinted>
  <dcterms:created xsi:type="dcterms:W3CDTF">2021-04-08T18:35:00Z</dcterms:created>
  <dcterms:modified xsi:type="dcterms:W3CDTF">2021-04-21T12:48:00Z</dcterms:modified>
</cp:coreProperties>
</file>